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61F5A" w:rsidRDefault="00E61F5A">
      <w:pPr>
        <w:rPr>
          <w:rFonts w:ascii="黑体" w:eastAsia="黑体" w:hAnsi="黑体" w:hint="eastAsia"/>
          <w:sz w:val="32"/>
          <w:szCs w:val="32"/>
        </w:rPr>
      </w:pPr>
    </w:p>
    <w:p w:rsidR="00E61F5A" w:rsidRDefault="00E61F5A">
      <w:pPr>
        <w:jc w:val="center"/>
        <w:rPr>
          <w:rFonts w:ascii="方正小标宋_GBK" w:eastAsia="方正小标宋_GBK" w:hAnsi="宋体" w:hint="eastAsia"/>
          <w:sz w:val="44"/>
          <w:szCs w:val="44"/>
        </w:rPr>
      </w:pPr>
    </w:p>
    <w:p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中共木垒哈萨克自治县档案馆</w:t>
      </w:r>
    </w:p>
    <w:p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E61F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E61F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E61F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E61F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E61F5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E61F5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E61F5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E61F5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E61F5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E61F5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E61F5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E61F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E61F5A" w:rsidRDefault="00000000">
      <w:r>
        <w:rPr>
          <w:rFonts w:ascii="仿宋_GB2312" w:eastAsia="仿宋_GB2312" w:hAnsi="仿宋_GB2312" w:cs="仿宋_GB2312" w:hint="eastAsia"/>
          <w:sz w:val="32"/>
          <w:szCs w:val="32"/>
        </w:rPr>
        <w:fldChar w:fldCharType="end"/>
      </w:r>
    </w:p>
    <w:p w:rsidR="00E61F5A" w:rsidRDefault="00000000">
      <w:pPr>
        <w:rPr>
          <w:rFonts w:ascii="仿宋_GB2312" w:eastAsia="仿宋_GB2312"/>
          <w:sz w:val="32"/>
          <w:szCs w:val="32"/>
        </w:rPr>
      </w:pPr>
      <w:r>
        <w:rPr>
          <w:rFonts w:ascii="仿宋_GB2312" w:eastAsia="仿宋_GB2312" w:hint="eastAsia"/>
          <w:sz w:val="32"/>
          <w:szCs w:val="32"/>
        </w:rPr>
        <w:br w:type="page"/>
      </w:r>
    </w:p>
    <w:p w:rsidR="00E61F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E61F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E61F5A"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主要职能是：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w:t>
      </w:r>
    </w:p>
    <w:p w:rsidR="00E61F5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E61F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中共木垒哈萨克自治县档案馆2023年度，实有人数</w:t>
      </w:r>
      <w:r>
        <w:rPr>
          <w:rFonts w:ascii="仿宋_GB2312" w:eastAsia="仿宋_GB2312" w:hint="eastAsia"/>
          <w:sz w:val="32"/>
          <w:szCs w:val="32"/>
          <w:lang w:val="zh-CN"/>
        </w:rPr>
        <w:t>20</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rsidR="00E61F5A" w:rsidRDefault="00000000">
      <w:pPr>
        <w:ind w:firstLineChars="200" w:firstLine="640"/>
        <w:rPr>
          <w:rFonts w:ascii="仿宋_GB2312" w:eastAsia="仿宋_GB2312"/>
          <w:sz w:val="32"/>
          <w:szCs w:val="32"/>
        </w:rPr>
      </w:pPr>
      <w:r>
        <w:rPr>
          <w:rFonts w:ascii="仿宋_GB2312" w:eastAsia="仿宋_GB2312" w:hint="eastAsia"/>
          <w:sz w:val="32"/>
          <w:szCs w:val="32"/>
        </w:rPr>
        <w:t>单位无下属预算单位，下设4个处室，分别是：办公室、技术保护股、编研管理股、业务股。</w:t>
      </w:r>
    </w:p>
    <w:p w:rsidR="00E61F5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t>第二部分 部门决算情况说明</w:t>
      </w:r>
      <w:bookmarkEnd w:id="6"/>
      <w:bookmarkEnd w:id="7"/>
    </w:p>
    <w:p w:rsidR="00E61F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2023年度收入总计185.85万元，其中：本年收入合计185.85万元，使用非财政拨款结余0.00万元，年初结转和结余0.00万元。</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2023年度支出总计185.85万元，其中：本年支出合计185.85万元，结余分配0.00万元，年末结转和结余0.00万元。</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w:t>
      </w:r>
      <w:r>
        <w:rPr>
          <w:rFonts w:ascii="仿宋_GB2312" w:eastAsia="仿宋_GB2312" w:hint="eastAsia"/>
          <w:sz w:val="32"/>
          <w:szCs w:val="32"/>
        </w:rPr>
        <w:lastRenderedPageBreak/>
        <w:t>13.71%，主要原因是：单位本年人员增加，人员工资、津贴补贴、绩效等人员经费较上年增加。</w:t>
      </w:r>
    </w:p>
    <w:p w:rsidR="00E61F5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本年收入185.85万元，其中：财政拨款收入</w:t>
      </w:r>
      <w:r>
        <w:rPr>
          <w:rFonts w:ascii="仿宋_GB2312" w:eastAsia="仿宋_GB2312" w:hint="eastAsia"/>
          <w:sz w:val="32"/>
          <w:szCs w:val="32"/>
          <w:lang w:val="zh-CN"/>
        </w:rPr>
        <w:t>185.85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E61F5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本年支出185.85万元，其中：基本支出185.85万元，占100.00%；项目支出0.00万元，占0.00%；上缴上级支出0.00万元，占0.00%；经营支出0.00万元，占0.00%；对附属单位补助支出0.00万元，占0.00%。</w:t>
      </w:r>
    </w:p>
    <w:p w:rsidR="00E61F5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185.85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185.85</w:t>
      </w:r>
      <w:r>
        <w:rPr>
          <w:rFonts w:ascii="仿宋_GB2312" w:eastAsia="仿宋_GB2312" w:hint="eastAsia"/>
          <w:sz w:val="32"/>
          <w:szCs w:val="32"/>
        </w:rPr>
        <w:t>万元。财政拨款支出总计</w:t>
      </w:r>
      <w:r>
        <w:rPr>
          <w:rFonts w:ascii="仿宋_GB2312" w:eastAsia="仿宋_GB2312" w:hint="eastAsia"/>
          <w:sz w:val="32"/>
          <w:szCs w:val="32"/>
          <w:lang w:val="zh-CN"/>
        </w:rPr>
        <w:t>185.85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185.85</w:t>
      </w:r>
      <w:r>
        <w:rPr>
          <w:rFonts w:ascii="仿宋_GB2312" w:eastAsia="仿宋_GB2312" w:hint="eastAsia"/>
          <w:sz w:val="32"/>
          <w:szCs w:val="32"/>
        </w:rPr>
        <w:t>万元。</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增加22.40万元</w:t>
      </w:r>
      <w:r>
        <w:rPr>
          <w:rFonts w:ascii="仿宋_GB2312" w:eastAsia="仿宋_GB2312" w:hint="eastAsia"/>
          <w:sz w:val="32"/>
          <w:szCs w:val="32"/>
        </w:rPr>
        <w:t>，增长13.71%,主要原因是：单位本年人员增加，人员工资、津贴补贴、绩效等人员经费较上年增加，并结算了历年欠款。与年初预算相比，年初预算数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lastRenderedPageBreak/>
        <w:t>万元，预决算差异率21.04%，主要原因是：单位本年人员增加，人员工资、津贴补贴、绩效等人员经费较上年增加。</w:t>
      </w:r>
    </w:p>
    <w:p w:rsidR="00E61F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E61F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2023年度一般公共预算财政拨款支出185.85万元，占本年支出合计的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增加22.40万元</w:t>
      </w:r>
      <w:r>
        <w:rPr>
          <w:rFonts w:ascii="仿宋_GB2312" w:eastAsia="仿宋_GB2312" w:hint="eastAsia"/>
          <w:sz w:val="32"/>
          <w:szCs w:val="32"/>
        </w:rPr>
        <w:t>，增长13.71%,主要原因是：单位本年人员增加，人员工资、津贴补贴、绩效等人员经费较上年增加，并结算了历年欠款。与年初预算相比，年初预算数</w:t>
      </w:r>
      <w:r>
        <w:rPr>
          <w:rFonts w:ascii="仿宋_GB2312" w:eastAsia="仿宋_GB2312" w:hint="eastAsia"/>
          <w:sz w:val="32"/>
          <w:szCs w:val="32"/>
          <w:lang w:val="zh-CN"/>
        </w:rPr>
        <w:t>153.55</w:t>
      </w:r>
      <w:r>
        <w:rPr>
          <w:rFonts w:ascii="仿宋_GB2312" w:eastAsia="仿宋_GB2312" w:hint="eastAsia"/>
          <w:sz w:val="32"/>
          <w:szCs w:val="32"/>
        </w:rPr>
        <w:t>万元，决算数</w:t>
      </w:r>
      <w:r>
        <w:rPr>
          <w:rFonts w:ascii="仿宋_GB2312" w:eastAsia="仿宋_GB2312" w:hint="eastAsia"/>
          <w:sz w:val="32"/>
          <w:szCs w:val="32"/>
          <w:lang w:val="zh-CN"/>
        </w:rPr>
        <w:t>185.85</w:t>
      </w:r>
      <w:r>
        <w:rPr>
          <w:rFonts w:ascii="仿宋_GB2312" w:eastAsia="仿宋_GB2312" w:hint="eastAsia"/>
          <w:sz w:val="32"/>
          <w:szCs w:val="32"/>
        </w:rPr>
        <w:t>万元，预决算差异率</w:t>
      </w:r>
      <w:r>
        <w:rPr>
          <w:rFonts w:ascii="仿宋_GB2312" w:eastAsia="仿宋_GB2312" w:hint="eastAsia"/>
          <w:sz w:val="32"/>
          <w:szCs w:val="32"/>
          <w:lang w:val="zh-CN"/>
        </w:rPr>
        <w:t>21.04%</w:t>
      </w:r>
      <w:r>
        <w:rPr>
          <w:rFonts w:ascii="仿宋_GB2312" w:eastAsia="仿宋_GB2312" w:hint="eastAsia"/>
          <w:sz w:val="32"/>
          <w:szCs w:val="32"/>
        </w:rPr>
        <w:t>，主要原因是：单位本年人员增加，人员工资、津贴补贴、绩效等人员经费较上年增加。</w:t>
      </w:r>
    </w:p>
    <w:p w:rsidR="00E61F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153.72</w:t>
      </w:r>
      <w:r>
        <w:rPr>
          <w:rFonts w:ascii="仿宋_GB2312" w:eastAsia="仿宋_GB2312"/>
          <w:kern w:val="2"/>
          <w:sz w:val="32"/>
          <w:szCs w:val="32"/>
          <w:lang w:val="zh-CN"/>
        </w:rPr>
        <w:t>万元，占</w:t>
      </w:r>
      <w:r>
        <w:rPr>
          <w:rFonts w:ascii="仿宋_GB2312" w:eastAsia="仿宋_GB2312" w:hint="eastAsia"/>
          <w:kern w:val="2"/>
          <w:sz w:val="32"/>
          <w:szCs w:val="32"/>
          <w:lang w:val="zh-CN"/>
        </w:rPr>
        <w:t>82.71</w:t>
      </w:r>
      <w:r>
        <w:rPr>
          <w:rFonts w:ascii="仿宋_GB2312" w:eastAsia="仿宋_GB2312"/>
          <w:kern w:val="2"/>
          <w:sz w:val="32"/>
          <w:szCs w:val="32"/>
          <w:lang w:val="zh-CN"/>
        </w:rPr>
        <w:t>%；</w:t>
      </w:r>
    </w:p>
    <w:p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19.95</w:t>
      </w:r>
      <w:r>
        <w:rPr>
          <w:rFonts w:ascii="仿宋_GB2312" w:eastAsia="仿宋_GB2312"/>
          <w:kern w:val="2"/>
          <w:sz w:val="32"/>
          <w:szCs w:val="32"/>
          <w:lang w:val="zh-CN"/>
        </w:rPr>
        <w:t>万元，占</w:t>
      </w:r>
      <w:r>
        <w:rPr>
          <w:rFonts w:ascii="仿宋_GB2312" w:eastAsia="仿宋_GB2312" w:hint="eastAsia"/>
          <w:kern w:val="2"/>
          <w:sz w:val="32"/>
          <w:szCs w:val="32"/>
          <w:lang w:val="zh-CN"/>
        </w:rPr>
        <w:t>10.73</w:t>
      </w:r>
      <w:r>
        <w:rPr>
          <w:rFonts w:ascii="仿宋_GB2312" w:eastAsia="仿宋_GB2312"/>
          <w:kern w:val="2"/>
          <w:sz w:val="32"/>
          <w:szCs w:val="32"/>
          <w:lang w:val="zh-CN"/>
        </w:rPr>
        <w:t>%；</w:t>
      </w:r>
    </w:p>
    <w:p w:rsidR="00E61F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12.19</w:t>
      </w:r>
      <w:r>
        <w:rPr>
          <w:rFonts w:ascii="仿宋_GB2312" w:eastAsia="仿宋_GB2312"/>
          <w:kern w:val="2"/>
          <w:sz w:val="32"/>
          <w:szCs w:val="32"/>
          <w:lang w:val="zh-CN"/>
        </w:rPr>
        <w:t>万元，占</w:t>
      </w:r>
      <w:r>
        <w:rPr>
          <w:rFonts w:ascii="仿宋_GB2312" w:eastAsia="仿宋_GB2312" w:hint="eastAsia"/>
          <w:kern w:val="2"/>
          <w:sz w:val="32"/>
          <w:szCs w:val="32"/>
          <w:lang w:val="zh-CN"/>
        </w:rPr>
        <w:t>6.56</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E61F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1.一般公共服务支出（类）档案事务（款）行政运行（项）:支出决算数为153.72万元，比上年决算增加43.21万元，增长39.10%，主要原因是：</w:t>
      </w:r>
      <w:r>
        <w:rPr>
          <w:rFonts w:ascii="仿宋_GB2312" w:eastAsia="仿宋_GB2312" w:hint="eastAsia"/>
          <w:sz w:val="32"/>
          <w:szCs w:val="32"/>
          <w:lang w:val="zh-CN"/>
        </w:rPr>
        <w:t>单位本年人员增加，人员工资、津贴补贴、绩效等人员经费较上年增加。</w:t>
      </w:r>
    </w:p>
    <w:p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2.住房保障支出（类）住房改革支出（款）住房公积金（项）:支出决算数为12.19万元，比上年决算增加3.10万</w:t>
      </w:r>
      <w:r>
        <w:rPr>
          <w:rFonts w:ascii="仿宋_GB2312" w:eastAsia="仿宋_GB2312" w:hint="eastAsia"/>
          <w:sz w:val="32"/>
          <w:szCs w:val="32"/>
        </w:rPr>
        <w:lastRenderedPageBreak/>
        <w:t>元，增长34.16%，主要原因是：</w:t>
      </w:r>
      <w:r>
        <w:rPr>
          <w:rFonts w:ascii="仿宋_GB2312" w:eastAsia="仿宋_GB2312" w:hint="eastAsia"/>
          <w:sz w:val="32"/>
          <w:szCs w:val="32"/>
          <w:lang w:val="zh-CN"/>
        </w:rPr>
        <w:t>单位本年人员增加，住房公积金缴费支出相应增加。</w:t>
      </w:r>
    </w:p>
    <w:p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3.社会保障和就业支出（类）行政事业单位养老支出（款）行政单位离退休（项）:支出决算数为3.25万元，比上年决算增加1.77万元，增长119.42%，主要原因是：</w:t>
      </w:r>
      <w:r>
        <w:rPr>
          <w:rFonts w:ascii="仿宋_GB2312" w:eastAsia="仿宋_GB2312" w:hint="eastAsia"/>
          <w:sz w:val="32"/>
          <w:szCs w:val="32"/>
          <w:lang w:val="zh-CN"/>
        </w:rPr>
        <w:t>本年退休人员基础绩效奖</w:t>
      </w:r>
      <w:r>
        <w:rPr>
          <w:rFonts w:ascii="仿宋_GB2312" w:eastAsia="仿宋_GB2312" w:hint="eastAsia"/>
          <w:sz w:val="32"/>
          <w:szCs w:val="32"/>
        </w:rPr>
        <w:t>增加</w:t>
      </w:r>
      <w:r>
        <w:rPr>
          <w:rFonts w:ascii="仿宋_GB2312" w:eastAsia="仿宋_GB2312" w:hint="eastAsia"/>
          <w:sz w:val="32"/>
          <w:szCs w:val="32"/>
          <w:lang w:val="zh-CN"/>
        </w:rPr>
        <w:t>。</w:t>
      </w:r>
    </w:p>
    <w:p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4.社会保障和就业支出（类）行政事业单位养老支出（款）机关事业单位职业年金缴费支出（项）:支出决算数为2.65万元，比上年决算增加2.65万元，增长100%，主要原因是：单位</w:t>
      </w:r>
      <w:r>
        <w:rPr>
          <w:rFonts w:ascii="仿宋_GB2312" w:eastAsia="仿宋_GB2312" w:hint="eastAsia"/>
          <w:sz w:val="32"/>
          <w:szCs w:val="32"/>
          <w:lang w:val="zh-CN"/>
        </w:rPr>
        <w:t>本年</w:t>
      </w:r>
      <w:r>
        <w:rPr>
          <w:rFonts w:ascii="仿宋_GB2312" w:eastAsia="仿宋_GB2312" w:hint="eastAsia"/>
          <w:sz w:val="32"/>
          <w:szCs w:val="32"/>
        </w:rPr>
        <w:t>为赵民</w:t>
      </w:r>
      <w:r>
        <w:rPr>
          <w:rFonts w:ascii="仿宋_GB2312" w:eastAsia="仿宋_GB2312" w:hint="eastAsia"/>
          <w:sz w:val="32"/>
          <w:szCs w:val="32"/>
          <w:lang w:val="zh-CN"/>
        </w:rPr>
        <w:t>办理职业年金手续。</w:t>
      </w:r>
    </w:p>
    <w:p w:rsidR="00E61F5A" w:rsidRDefault="00000000">
      <w:pPr>
        <w:ind w:firstLineChars="200" w:firstLine="640"/>
        <w:rPr>
          <w:rFonts w:ascii="仿宋_GB2312" w:eastAsia="仿宋_GB2312"/>
          <w:sz w:val="32"/>
          <w:szCs w:val="32"/>
        </w:rPr>
      </w:pPr>
      <w:r>
        <w:rPr>
          <w:rFonts w:ascii="仿宋_GB2312" w:eastAsia="仿宋_GB2312" w:hint="eastAsia"/>
          <w:sz w:val="32"/>
          <w:szCs w:val="32"/>
        </w:rPr>
        <w:t>5.社会保障和就业支出（类）行政事业单位养老支出（款）机关事业单位基本养老保险缴费支出（项）:支出决算数为14.05万元，比上年决算增加2.45万元，增长21.15%，主要原因是：</w:t>
      </w:r>
      <w:r>
        <w:rPr>
          <w:rFonts w:ascii="仿宋_GB2312" w:eastAsia="仿宋_GB2312" w:hint="eastAsia"/>
          <w:sz w:val="32"/>
          <w:szCs w:val="32"/>
          <w:lang w:val="zh-CN"/>
        </w:rPr>
        <w:t>单位本年人员增加，养老保险缴费支出</w:t>
      </w:r>
      <w:r>
        <w:rPr>
          <w:rFonts w:ascii="仿宋_GB2312" w:eastAsia="仿宋_GB2312" w:hint="eastAsia"/>
          <w:sz w:val="32"/>
          <w:szCs w:val="32"/>
        </w:rPr>
        <w:t>相应增加。</w:t>
      </w:r>
    </w:p>
    <w:p w:rsidR="00E61F5A"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6.社会保障和就业支出（类）抚恤（款）死亡抚恤（项）:支出决算数为0.00万元，比上年决算减少30.78万元，下降100%，主要原因是：</w:t>
      </w:r>
      <w:r>
        <w:rPr>
          <w:rFonts w:ascii="仿宋_GB2312" w:eastAsia="仿宋_GB2312" w:hint="eastAsia"/>
          <w:sz w:val="32"/>
          <w:szCs w:val="32"/>
          <w:lang w:val="zh-CN"/>
        </w:rPr>
        <w:t>本年常住人口死亡人数减少，丧葬抚恤金减少。</w:t>
      </w:r>
    </w:p>
    <w:p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2023年度一般公共预算财政拨款基本支出185.85万元，其中：人员经费166.54万元，包括：基本工资、津贴补贴、</w:t>
      </w:r>
      <w:r>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奖金、机关事业单位基本养老保险缴费、职业年金缴费、职工基本医疗保险缴费、公务员医疗补助缴费、其他社会保障缴费、住房公积金、退休费、奖励金、其他对个人和家庭的补助。</w:t>
      </w:r>
    </w:p>
    <w:p w:rsidR="00E61F5A"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公用经费19.31万元，包括：办公费、水费、电费、邮电费、取暖费、差旅费、维修（护）费、劳务费、工会经费、公务用车运行维护费、办公设备购置、无形资产购置。</w:t>
      </w:r>
    </w:p>
    <w:p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“三公”经费支出0.47万元，</w:t>
      </w:r>
      <w:r>
        <w:rPr>
          <w:rFonts w:ascii="仿宋_GB2312" w:eastAsia="仿宋_GB2312" w:hint="eastAsia"/>
          <w:sz w:val="32"/>
          <w:szCs w:val="32"/>
        </w:rPr>
        <w:t>比上年</w:t>
      </w:r>
      <w:r>
        <w:rPr>
          <w:rFonts w:ascii="仿宋_GB2312" w:eastAsia="仿宋_GB2312" w:hint="eastAsia"/>
          <w:sz w:val="32"/>
          <w:szCs w:val="32"/>
          <w:lang w:val="zh-CN"/>
        </w:rPr>
        <w:t>增加0.43万元，</w:t>
      </w:r>
      <w:r>
        <w:rPr>
          <w:rFonts w:ascii="仿宋_GB2312" w:eastAsia="仿宋_GB2312" w:hint="eastAsia"/>
          <w:sz w:val="32"/>
          <w:szCs w:val="32"/>
        </w:rPr>
        <w:t>增长1157.58%,</w:t>
      </w:r>
      <w:r>
        <w:rPr>
          <w:rFonts w:ascii="仿宋_GB2312" w:eastAsia="仿宋_GB2312" w:hint="eastAsia"/>
          <w:sz w:val="32"/>
          <w:szCs w:val="32"/>
          <w:lang w:val="zh-CN"/>
        </w:rPr>
        <w:t>主要原因是：2022年只支付了车辆检测费，2023年支付了2022-2023年车辆保险费。其中：因公出国（境）费支出0.00万元，占0.00%，比上年增加0.00万元，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；公务用车购置及运行维护费支出0.47万元，占100.00%，比上年增加0.43万元，</w:t>
      </w:r>
      <w:r>
        <w:rPr>
          <w:rFonts w:ascii="仿宋_GB2312" w:eastAsia="仿宋_GB2312" w:hint="eastAsia"/>
          <w:sz w:val="32"/>
          <w:szCs w:val="32"/>
        </w:rPr>
        <w:t>增长1157.58%,</w:t>
      </w:r>
      <w:r>
        <w:rPr>
          <w:rFonts w:ascii="仿宋_GB2312" w:eastAsia="仿宋_GB2312" w:hint="eastAsia"/>
          <w:sz w:val="32"/>
          <w:szCs w:val="32"/>
          <w:lang w:val="zh-CN"/>
        </w:rPr>
        <w:t>主要原因是：2022年只支付了车辆检测费，2023年支付了2022-2023年车辆保险费。公务接待费支出0.00万元，占0.00%，比上年增加0.00万元，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w:t>
      </w:r>
      <w:r>
        <w:rPr>
          <w:rFonts w:ascii="仿宋_GB2312" w:eastAsia="仿宋_GB2312" w:hint="eastAsia"/>
          <w:sz w:val="32"/>
          <w:szCs w:val="32"/>
          <w:lang w:val="zh-CN"/>
        </w:rPr>
        <w:lastRenderedPageBreak/>
        <w:t>因公出国（境）0人次。</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0.47万元，其中：公务用车购置费0.00万元，公务用车运行维护费0.47万元。公务用车运行维护费开支内容包括公务用车燃油费、保险费、过路费、维修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。单位全年安排的国内公务接待0批次，0人次。</w:t>
      </w:r>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8D0C22">
        <w:rPr>
          <w:rFonts w:ascii="仿宋_GB2312" w:eastAsia="仿宋_GB2312" w:hint="eastAsia"/>
          <w:sz w:val="32"/>
          <w:szCs w:val="32"/>
          <w:lang w:val="zh-CN"/>
        </w:rPr>
        <w:t>预决算</w:t>
      </w:r>
      <w:r>
        <w:rPr>
          <w:rFonts w:ascii="仿宋_GB2312" w:eastAsia="仿宋_GB2312" w:hint="eastAsia"/>
          <w:sz w:val="32"/>
          <w:szCs w:val="32"/>
        </w:rPr>
        <w:t>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预算数0.47万元，决算数0.47万元，预决算差异率0.00%，主要原因是：</w:t>
      </w:r>
      <w:r w:rsidR="008D0C22">
        <w:rPr>
          <w:rFonts w:ascii="仿宋_GB2312" w:eastAsia="仿宋_GB2312" w:hint="eastAsia"/>
          <w:sz w:val="32"/>
          <w:szCs w:val="32"/>
          <w:lang w:val="zh-CN"/>
        </w:rPr>
        <w:t>预决算</w:t>
      </w:r>
      <w:r>
        <w:rPr>
          <w:rFonts w:ascii="仿宋_GB2312" w:eastAsia="仿宋_GB2312" w:hint="eastAsia"/>
          <w:sz w:val="32"/>
          <w:szCs w:val="32"/>
        </w:rPr>
        <w:t>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E61F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rsidR="00E61F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E61F5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E61F5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E61F5A"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中共木垒哈萨克自治县档案馆（行政单位和参照公务员法管理事业单位）机关运行经费支出19.31万元，比上年增加11.16万元，增长136.77%,主要原因是：本年单位办公费、电费、劳务费等较上年增加。</w:t>
      </w:r>
    </w:p>
    <w:p w:rsidR="00E61F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2023年度政府采购支出总额7.40万元，其中：政府采购货物支出6.36万元、政府采购工程支出0.00万元、政府采购服务支出1.04万元。</w:t>
      </w:r>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授予中小企业合同金额7.40万元，占政府采购支出总额的100.00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，其中：授予小微企业合同金额7.10万元，占政府采购支出总额的95.95</w:t>
      </w:r>
      <w:r>
        <w:rPr>
          <w:rFonts w:ascii="仿宋_GB2312" w:eastAsia="仿宋_GB2312"/>
          <w:sz w:val="32"/>
          <w:szCs w:val="32"/>
          <w:lang w:val="zh-CN"/>
        </w:rPr>
        <w:t>%</w:t>
      </w:r>
      <w:r>
        <w:rPr>
          <w:rFonts w:ascii="仿宋_GB2312" w:eastAsia="仿宋_GB2312" w:hint="eastAsia"/>
          <w:sz w:val="32"/>
          <w:szCs w:val="32"/>
        </w:rPr>
        <w:t>。</w:t>
      </w:r>
    </w:p>
    <w:p w:rsidR="00E61F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E61F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227.48</w:t>
      </w:r>
      <w:r>
        <w:rPr>
          <w:rFonts w:ascii="仿宋_GB2312" w:eastAsia="仿宋_GB2312" w:hint="eastAsia"/>
          <w:sz w:val="32"/>
          <w:szCs w:val="32"/>
        </w:rPr>
        <w:t>万元，房</w:t>
      </w:r>
      <w:r>
        <w:rPr>
          <w:rFonts w:ascii="仿宋_GB2312" w:eastAsia="仿宋_GB2312" w:hint="eastAsia"/>
          <w:sz w:val="32"/>
          <w:szCs w:val="32"/>
          <w:lang w:val="zh-CN"/>
        </w:rPr>
        <w:t>屋771.0</w:t>
      </w:r>
      <w:r>
        <w:rPr>
          <w:rFonts w:ascii="仿宋_GB2312" w:eastAsia="仿宋_GB2312" w:hint="eastAsia"/>
          <w:sz w:val="32"/>
          <w:szCs w:val="32"/>
        </w:rPr>
        <w:t>0</w:t>
      </w:r>
      <w:r>
        <w:rPr>
          <w:rFonts w:ascii="仿宋_GB2312" w:eastAsia="仿宋_GB2312" w:hint="eastAsia"/>
          <w:sz w:val="32"/>
          <w:szCs w:val="32"/>
          <w:lang w:val="zh-CN"/>
        </w:rPr>
        <w:t>平方米，价值110.53万元。车辆1辆，价值12.68</w:t>
      </w:r>
      <w:r>
        <w:rPr>
          <w:rFonts w:ascii="仿宋_GB2312" w:eastAsia="仿宋_GB2312" w:hint="eastAsia"/>
          <w:sz w:val="32"/>
          <w:szCs w:val="32"/>
          <w:lang w:val="zh-CN"/>
        </w:rPr>
        <w:lastRenderedPageBreak/>
        <w:t>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用车0辆、其他用车1辆，其他用车主要是：一般公务用车；单价100万元（含）以上设备（不含车辆）0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E61F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E61F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预算总额185.85万元，实际执行总额185.85万元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积极履职，强化管理，较好的完成了年度工作目标；二是通过加强预算收支管理，不断建立健全内部管理制度，梳理内部管理流程，部门整体支出管理水平得到提升。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单位整体项目支出严格按照绩效目标及时支出；</w:t>
      </w:r>
      <w:r>
        <w:rPr>
          <w:rFonts w:ascii="仿宋_GB2312" w:eastAsia="仿宋_GB2312" w:hint="eastAsia"/>
          <w:sz w:val="32"/>
          <w:szCs w:val="32"/>
        </w:rPr>
        <w:lastRenderedPageBreak/>
        <w:t>二是加强财务管理，严格财务审核，在费用报账支付时，按照预算规定的费用项目和用途进行资金使用审核、财务核算等，杜绝超支现象发生。具体项目自评情况附绩效自评表及自评报告。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E61F5A">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E61F5A">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E61F5A">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中共木垒哈萨克自治县档案馆</w:t>
            </w:r>
          </w:p>
        </w:tc>
      </w:tr>
      <w:tr w:rsidR="00E61F5A">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61F5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r>
      <w:tr w:rsidR="00E61F5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r>
      <w:tr w:rsidR="00E61F5A">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153.55</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185.85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61F5A">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E61F5A">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目标1：保障档案馆正常运行、各项工作圆满完成； </w:t>
            </w:r>
            <w:r>
              <w:rPr>
                <w:rFonts w:ascii="宋体" w:hAnsi="宋体" w:cs="宋体" w:hint="eastAsia"/>
                <w:color w:val="000000"/>
                <w:kern w:val="0"/>
                <w:sz w:val="20"/>
                <w:szCs w:val="20"/>
                <w:lang w:bidi="ar"/>
              </w:rPr>
              <w:br/>
              <w:t xml:space="preserve">目标2：每月检查库房安全及档案保管状况1次； </w:t>
            </w:r>
            <w:r>
              <w:rPr>
                <w:rFonts w:ascii="宋体" w:hAnsi="宋体" w:cs="宋体" w:hint="eastAsia"/>
                <w:color w:val="000000"/>
                <w:kern w:val="0"/>
                <w:sz w:val="20"/>
                <w:szCs w:val="20"/>
                <w:lang w:bidi="ar"/>
              </w:rPr>
              <w:br/>
              <w:t xml:space="preserve">目标3：开展消防培训2次； </w:t>
            </w:r>
            <w:r>
              <w:rPr>
                <w:rFonts w:ascii="宋体" w:hAnsi="宋体" w:cs="宋体" w:hint="eastAsia"/>
                <w:color w:val="000000"/>
                <w:kern w:val="0"/>
                <w:sz w:val="20"/>
                <w:szCs w:val="20"/>
                <w:lang w:bidi="ar"/>
              </w:rPr>
              <w:br/>
              <w:t>目标4：各类档案整理归档，数字档案备份全覆盖，满25年向社会开放、档案利用和公布。</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已完成：每月检查库房安全及档案保管状况1次共12次；开展消防培训2次；各类档案整理归档，数字档案备份全覆盖，满25年100%向社会开放、档案利用和公布。保障档案馆正常运行、各项工作圆满完成。</w:t>
            </w:r>
          </w:p>
        </w:tc>
      </w:tr>
      <w:tr w:rsidR="00E61F5A">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w:t>
            </w:r>
            <w:r>
              <w:rPr>
                <w:rFonts w:ascii="宋体" w:hAnsi="宋体" w:cs="宋体" w:hint="eastAsia"/>
                <w:color w:val="000000"/>
                <w:kern w:val="0"/>
                <w:sz w:val="20"/>
                <w:szCs w:val="20"/>
                <w:lang w:bidi="ar"/>
              </w:rPr>
              <w:lastRenderedPageBreak/>
              <w:t>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w:t>
            </w:r>
            <w:r>
              <w:rPr>
                <w:rFonts w:ascii="宋体" w:hAnsi="宋体" w:cs="宋体" w:hint="eastAsia"/>
                <w:color w:val="000000"/>
                <w:kern w:val="0"/>
                <w:sz w:val="20"/>
                <w:szCs w:val="20"/>
                <w:lang w:bidi="ar"/>
              </w:rPr>
              <w:lastRenderedPageBreak/>
              <w:t>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得分</w:t>
            </w:r>
          </w:p>
        </w:tc>
      </w:tr>
      <w:tr w:rsidR="00E61F5A">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《关于下达2023年木垒县部门预算批复的通知》（木财字〔2023〕24号）</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公务保障用车数量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《关于核定中共木垒哈萨克自治县档案馆一般公务用车编制的函》</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1辆</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库房安全及档案保管状况检查数量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61F5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满25年向社会开放、档案利用和公布率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61F5A">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开展消防培训及演练</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E61F5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来访人员档案查阅服务投诉率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E61F5A">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E61F5A">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数字档案备份率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木垒县档案馆2023年工作要点</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1F5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bl>
    <w:p w:rsidR="00E61F5A" w:rsidRDefault="00E61F5A">
      <w:pPr>
        <w:ind w:firstLineChars="200" w:firstLine="640"/>
        <w:jc w:val="left"/>
        <w:rPr>
          <w:rFonts w:ascii="黑体" w:eastAsia="黑体" w:hAnsi="黑体" w:cs="宋体" w:hint="eastAsia"/>
          <w:bCs/>
          <w:kern w:val="0"/>
          <w:sz w:val="32"/>
          <w:szCs w:val="32"/>
        </w:rPr>
      </w:pPr>
    </w:p>
    <w:p w:rsidR="00E61F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E61F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E61F5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E61F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E61F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E61F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E61F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E61F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E61F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E61F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E61F5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E61F5A"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E61F5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E61F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E61F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E61F5A" w:rsidRDefault="00E61F5A">
      <w:pPr>
        <w:ind w:firstLineChars="200" w:firstLine="640"/>
        <w:rPr>
          <w:rFonts w:ascii="仿宋_GB2312" w:eastAsia="仿宋_GB2312"/>
          <w:sz w:val="32"/>
          <w:szCs w:val="32"/>
        </w:rPr>
      </w:pPr>
    </w:p>
    <w:p w:rsidR="00E61F5A" w:rsidRDefault="00E61F5A">
      <w:pPr>
        <w:ind w:firstLineChars="200" w:firstLine="640"/>
        <w:outlineLvl w:val="1"/>
        <w:rPr>
          <w:rFonts w:ascii="黑体" w:eastAsia="黑体" w:hAnsi="黑体" w:cs="宋体" w:hint="eastAsia"/>
          <w:bCs/>
          <w:kern w:val="0"/>
          <w:sz w:val="32"/>
          <w:szCs w:val="32"/>
        </w:rPr>
      </w:pPr>
    </w:p>
    <w:sectPr w:rsidR="00E61F5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B4202" w:rsidRDefault="001B4202">
      <w:r>
        <w:separator/>
      </w:r>
    </w:p>
  </w:endnote>
  <w:endnote w:type="continuationSeparator" w:id="0">
    <w:p w:rsidR="001B4202" w:rsidRDefault="001B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1F5A"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E61F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B4202" w:rsidRDefault="001B4202">
      <w:r>
        <w:separator/>
      </w:r>
    </w:p>
  </w:footnote>
  <w:footnote w:type="continuationSeparator" w:id="0">
    <w:p w:rsidR="001B4202" w:rsidRDefault="001B4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89122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E61F5A"/>
    <w:rsid w:val="001B4202"/>
    <w:rsid w:val="00213C59"/>
    <w:rsid w:val="003210CE"/>
    <w:rsid w:val="008D0C22"/>
    <w:rsid w:val="00B70D59"/>
    <w:rsid w:val="00D37501"/>
    <w:rsid w:val="00E61F5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3E651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D41861"/>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B3DD8"/>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745D23"/>
    <w:rsid w:val="58CD2491"/>
    <w:rsid w:val="591B41B2"/>
    <w:rsid w:val="59254A26"/>
    <w:rsid w:val="59326325"/>
    <w:rsid w:val="595C505B"/>
    <w:rsid w:val="595E55C3"/>
    <w:rsid w:val="596E7E20"/>
    <w:rsid w:val="5A60780B"/>
    <w:rsid w:val="5A827902"/>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BF6BDD"/>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155B9"/>
  <w15:docId w15:val="{11FF8E7A-A237-4411-8A72-4D3D266E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1148</Words>
  <Characters>6549</Characters>
  <Application>Microsoft Office Word</Application>
  <DocSecurity>0</DocSecurity>
  <Lines>54</Lines>
  <Paragraphs>15</Paragraphs>
  <ScaleCrop>false</ScaleCrop>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